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462-НҚ от 23.11.2023</w:t>
      </w:r>
    </w:p>
    <w:p w:rsidR="00796F7E" w:rsidRPr="00796F7E" w:rsidRDefault="00796F7E" w:rsidP="00796F7E">
      <w:pPr>
        <w:pStyle w:val="Default"/>
        <w:ind w:left="5670"/>
        <w:jc w:val="center"/>
        <w:rPr>
          <w:lang w:val="kk-KZ"/>
        </w:rPr>
      </w:pPr>
      <w:r w:rsidRPr="00796F7E">
        <w:t>Приложение</w:t>
      </w:r>
      <w:r w:rsidRPr="00796F7E">
        <w:rPr>
          <w:lang w:val="kk-KZ"/>
        </w:rPr>
        <w:t xml:space="preserve"> 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>к приказу Председателя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>Комитета технического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 xml:space="preserve">регулирования и метрологии 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 xml:space="preserve">Министерства торговли и интеграции Республики Казахстан  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 xml:space="preserve">от «___» ________ 20__ года </w:t>
      </w:r>
    </w:p>
    <w:p w:rsidR="00796F7E" w:rsidRPr="00796F7E" w:rsidRDefault="00796F7E" w:rsidP="00796F7E">
      <w:pPr>
        <w:pStyle w:val="Default"/>
        <w:ind w:left="5670"/>
        <w:jc w:val="center"/>
      </w:pPr>
      <w:r w:rsidRPr="00796F7E">
        <w:t>№ _______</w:t>
      </w:r>
    </w:p>
    <w:p w:rsidR="00796F7E" w:rsidRPr="00796F7E" w:rsidRDefault="00796F7E" w:rsidP="00796F7E">
      <w:pPr>
        <w:jc w:val="right"/>
        <w:rPr>
          <w:i/>
          <w:noProof/>
        </w:rPr>
      </w:pPr>
    </w:p>
    <w:p w:rsidR="00796F7E" w:rsidRPr="00796F7E" w:rsidRDefault="00796F7E" w:rsidP="00796F7E">
      <w:pPr>
        <w:jc w:val="right"/>
        <w:rPr>
          <w:i/>
          <w:noProof/>
        </w:rPr>
      </w:pPr>
    </w:p>
    <w:p w:rsidR="00796F7E" w:rsidRPr="00796F7E" w:rsidRDefault="00796F7E" w:rsidP="00796F7E">
      <w:pPr>
        <w:jc w:val="center"/>
        <w:rPr>
          <w:b/>
        </w:rPr>
      </w:pPr>
      <w:r w:rsidRPr="00796F7E">
        <w:rPr>
          <w:b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796F7E" w:rsidRPr="00796F7E" w:rsidRDefault="00796F7E" w:rsidP="00796F7E">
      <w:pPr>
        <w:jc w:val="center"/>
        <w:rPr>
          <w:b/>
          <w:i/>
        </w:rPr>
      </w:pPr>
    </w:p>
    <w:tbl>
      <w:tblPr>
        <w:tblStyle w:val="1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56"/>
        <w:gridCol w:w="3827"/>
        <w:gridCol w:w="2268"/>
        <w:gridCol w:w="1417"/>
      </w:tblGrid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jc w:val="center"/>
              <w:rPr>
                <w:sz w:val="22"/>
                <w:szCs w:val="22"/>
              </w:rPr>
            </w:pPr>
            <w:bookmarkStart w:id="0" w:name="_Hlk77342161"/>
            <w:r w:rsidRPr="00796F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jc w:val="center"/>
              <w:rPr>
                <w:sz w:val="22"/>
                <w:szCs w:val="22"/>
              </w:rPr>
            </w:pPr>
            <w:r w:rsidRPr="00796F7E">
              <w:rPr>
                <w:rFonts w:eastAsia="Calibri"/>
                <w:b/>
                <w:sz w:val="22"/>
                <w:szCs w:val="22"/>
              </w:rPr>
              <w:t>Обозначение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jc w:val="center"/>
              <w:rPr>
                <w:bCs/>
                <w:sz w:val="22"/>
                <w:szCs w:val="22"/>
              </w:rPr>
            </w:pPr>
            <w:r w:rsidRPr="00796F7E">
              <w:rPr>
                <w:rFonts w:eastAsia="Calibr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jc w:val="both"/>
              <w:rPr>
                <w:bCs/>
                <w:sz w:val="22"/>
                <w:szCs w:val="22"/>
              </w:rPr>
            </w:pPr>
            <w:r w:rsidRPr="00796F7E">
              <w:rPr>
                <w:b/>
                <w:sz w:val="22"/>
                <w:szCs w:val="22"/>
              </w:rPr>
              <w:t>Информация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jc w:val="center"/>
              <w:rPr>
                <w:b/>
                <w:sz w:val="22"/>
                <w:szCs w:val="22"/>
              </w:rPr>
            </w:pPr>
            <w:r w:rsidRPr="00796F7E">
              <w:rPr>
                <w:b/>
                <w:sz w:val="22"/>
                <w:szCs w:val="22"/>
              </w:rPr>
              <w:t>Дата  введения</w:t>
            </w:r>
          </w:p>
        </w:tc>
        <w:bookmarkEnd w:id="0"/>
      </w:tr>
      <w:tr w:rsidR="00796F7E" w:rsidRPr="00796F7E" w:rsidTr="00796F7E">
        <w:trPr>
          <w:trHeight w:val="230"/>
        </w:trPr>
        <w:tc>
          <w:tcPr>
            <w:tcW w:w="10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center"/>
              <w:rPr>
                <w:b/>
                <w:sz w:val="22"/>
                <w:szCs w:val="22"/>
              </w:rPr>
            </w:pPr>
            <w:r w:rsidRPr="00796F7E">
              <w:rPr>
                <w:b/>
                <w:sz w:val="22"/>
                <w:szCs w:val="22"/>
              </w:rPr>
              <w:t>«О безопасности низковольтного оборудования» (ТР ТС 004/2011)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EN 50250-2016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Адаптеры конверсионные для промышленного применения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  <w:lang w:val="kk-KZ"/>
              </w:rPr>
            </w:pPr>
            <w:r w:rsidRPr="00796F7E">
              <w:rPr>
                <w:sz w:val="22"/>
                <w:szCs w:val="22"/>
                <w:lang w:val="kk-KZ"/>
              </w:rPr>
              <w:t>ГОСТ EN 50556-2016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Системы управления дорожным движением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  <w:r w:rsidRPr="00796F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rPr>
                <w:sz w:val="22"/>
                <w:szCs w:val="22"/>
                <w:lang w:val="kk-KZ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60127-7-2016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Предохранители плавкие миниатюрные. Часть 7. Миниатюрные плавкие вставки для специального применения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  <w:r w:rsidRPr="00796F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60204-32-2016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Безопасность машин. Электрооборудование машин и механизмов. Часть 32. Требования к грузоподъемным механизмам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  <w:r w:rsidRPr="00796F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22483-2021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Жилы токопроводящие для кабелей, проводов и шнуров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Взамен ГОСТ 22483-2012 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60309-2-2016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Вилки, штепсельные розетки и соединительные устройства промышленного назначения. Часть 2. Требования к размерной взаимозаменяемости арматуры со штырями и контактными гнездами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Взамен ГОСТ 30849.2-2002 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60309-4-2017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Вилки, штепсельные розетки и соединительные устройства промышленного назначения. Часть 4. Переключаемые </w:t>
            </w:r>
            <w:proofErr w:type="spellStart"/>
            <w:r w:rsidRPr="00796F7E">
              <w:rPr>
                <w:sz w:val="22"/>
                <w:szCs w:val="22"/>
              </w:rPr>
              <w:t>ответвители</w:t>
            </w:r>
            <w:proofErr w:type="spellEnd"/>
            <w:r w:rsidRPr="00796F7E">
              <w:rPr>
                <w:sz w:val="22"/>
                <w:szCs w:val="22"/>
              </w:rPr>
              <w:t xml:space="preserve"> и соединители с блокировкой и без 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Взамен </w:t>
            </w:r>
            <w:r w:rsidRPr="00796F7E">
              <w:rPr>
                <w:color w:val="000000"/>
                <w:sz w:val="22"/>
                <w:szCs w:val="22"/>
              </w:rPr>
              <w:t>ГОСТ IEC 60309-4-2013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с установлением переходного периода до </w:t>
            </w:r>
            <w:r w:rsidRPr="00796F7E">
              <w:rPr>
                <w:color w:val="000000"/>
                <w:sz w:val="22"/>
                <w:szCs w:val="22"/>
              </w:rPr>
              <w:t>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60320-2-1-2017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Соединители электроприборов бытового и аналогичного общего назначения. Часть 2-1. Соединители для швейных машин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60320-2-3-2017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Соединители электрические бытового и аналогичного назначения. Часть 2-3. Дополнительные требования к соединителям степени защиты свыше SPXO и методы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ГОСТ 30851.2.3-2012 (IEC 60320-2-3:1998)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с установлением переходного периода до </w:t>
            </w:r>
            <w:r w:rsidRPr="00796F7E">
              <w:rPr>
                <w:color w:val="000000"/>
                <w:sz w:val="22"/>
                <w:szCs w:val="22"/>
              </w:rPr>
              <w:t>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60320-2-4-2017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Соединители электрические бытового и аналогичного назначения. Часть 2-4. </w:t>
            </w:r>
            <w:r w:rsidRPr="00796F7E">
              <w:rPr>
                <w:sz w:val="22"/>
                <w:szCs w:val="22"/>
              </w:rPr>
              <w:lastRenderedPageBreak/>
              <w:t>Соединители, работающие в зависимости от веса подсоединяемого прибора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lastRenderedPageBreak/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60335-2-6-2016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Бытовые и аналогичные электрические приборы. Безопасность. Часть 2-6. Частные требования к стационарным кухонным плитам, конфорочным панелям, жарочным шкафам и аналогичным приборам» (раздел 20 и п. 21.101 не применяются для газоэлектрических приборов)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ГОСТ IEC 60335-2-6-2010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с установлением переходного периода до </w:t>
            </w:r>
            <w:r w:rsidRPr="00796F7E">
              <w:rPr>
                <w:color w:val="000000"/>
                <w:sz w:val="22"/>
                <w:szCs w:val="22"/>
              </w:rPr>
              <w:t>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60335-2-23-2019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Бытовые и аналогичные электрические приборы. Безопасность. Часть 2-23. Дополнительные требования к приборам по уходу за кожей или волосами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ГОСТ МЭК 60335-2-23-2009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с установлением переходного периода до </w:t>
            </w:r>
            <w:r w:rsidRPr="00796F7E">
              <w:rPr>
                <w:color w:val="000000"/>
                <w:sz w:val="22"/>
                <w:szCs w:val="22"/>
              </w:rPr>
              <w:t>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60335-2-29-2019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Безопасность бытовых и аналогичных электрических приборов. Часть 2-29. Частные требования к зарядным устройствам батарей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ГОСТ IEC 60335-2-29-2012 без ограничения и установления срока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60335-2-80-2017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Бытовые и аналогичные электрические приборы. Безопасность. Часть 2-80. Частные требования к вентиляторам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ГОСТ IEC 60335-2-80-2012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60335-2-99-2016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Бытовые и аналогичные электрические приборы. Безопасность. Часть 2-99. Дополнительные требования к электрическим вытяжкам-воздухоочистителям коммерческого применения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60335-2-110-2016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tabs>
                <w:tab w:val="left" w:pos="1020"/>
              </w:tabs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Бытовые и аналогичные электрические приборы. Безопасность. Часть 2-110. Дополнительные требования к промышленным микроволновым приборам </w:t>
            </w:r>
            <w:proofErr w:type="spellStart"/>
            <w:r w:rsidRPr="00796F7E">
              <w:rPr>
                <w:sz w:val="22"/>
                <w:szCs w:val="22"/>
              </w:rPr>
              <w:t>cо</w:t>
            </w:r>
            <w:proofErr w:type="spellEnd"/>
            <w:r w:rsidRPr="00796F7E">
              <w:rPr>
                <w:sz w:val="22"/>
                <w:szCs w:val="22"/>
              </w:rPr>
              <w:t xml:space="preserve"> вставными и контактными аппликаторами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60432-1-2019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Лампы накаливания. Требования безопасности. Часть 1. Вольфрамовые лампы накаливания для бытового и аналогичного общего освещения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spacing w:after="160" w:line="259" w:lineRule="auto"/>
              <w:jc w:val="both"/>
              <w:rPr>
                <w:kern w:val="2"/>
                <w:sz w:val="22"/>
                <w:szCs w:val="22"/>
                <w14:ligatures w14:val="standardContextual"/>
              </w:rPr>
            </w:pPr>
            <w:r w:rsidRPr="00796F7E">
              <w:rPr>
                <w:color w:val="000000"/>
                <w:sz w:val="22"/>
                <w:szCs w:val="22"/>
              </w:rPr>
              <w:t>Взамен</w:t>
            </w:r>
            <w:r w:rsidRPr="00796F7E">
              <w:rPr>
                <w:kern w:val="2"/>
                <w:sz w:val="22"/>
                <w:szCs w:val="22"/>
                <w14:ligatures w14:val="standardContextual"/>
              </w:rPr>
              <w:t xml:space="preserve"> ГОСТ 31998.1-2012 (IEC 60432-1:1999)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60519-12-2016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Установки электронагревательные. Безопасность. Часть 12. Частные требования к инфракрасным электронагревательным установкам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60598-2-8-2016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Светильники. Часть 2-8. Дополнительные требования к ручным светильникам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ГОСТ IEC 60598-2-8-2011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с установлением </w:t>
            </w:r>
            <w:r w:rsidRPr="00796F7E">
              <w:rPr>
                <w:rFonts w:eastAsia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lastRenderedPageBreak/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60598-2-12-2016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Светильники. Часть 2-12. Дополнительные требования к ночным светильникам для крепления в штепсельной сетевой розетке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60598-2-22-2016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Светильники. Часть 2-22. Дополнительные требования. Светильники для аварийного освещения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Взамен ГОСТ IEC 60598-2-22-2012 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60702-1-2017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Кабели с минеральной изоляцией и концевые заделки к ним на номинальное напряжение не более 750 В. Часть 1. Кабели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60702-2-2017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Кабели с минеральной изоляцией и концевые заделки к ним на номинальное напряжение не более 750 В. Часть 2. Концевые заделки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60884-2-3-2017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Соединители электрические штепсельные бытового и аналогичного назначения. Часть 2-3. Дополнительные требования к штепсельным розеткам с выключателями без блокировки для стационарных электроустановок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60947-2-2021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Аппаратура распределения и управления низковольтная. Часть 2. Автоматические выключатели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Взамен ГОСТ IEC 60947-2-2014 с установлением переходного периода до 01.01.2025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60947-5-8-2017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Аппаратура распределения и управления низковольтная. Часть 5-8. Аппараты и элементы коммутации для цепей управления. Трехпозиционные переключатели с функцией разблокировки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60998-1-2017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Соединительные устройства для низковольтных цепей бытового и аналогичного назначения. Часть 1. Общие требования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Взамен ГОСТ 31195.1-2012 (IEC 60998-1:1990) 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60998-2-3-2017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Соединительные устройства для низковольтных цепей бытового и аналогичного назначения. Часть 2-3. Дополнительные требования к контактным зажимам, прокалывающим изоляцию медных проводников для их соединения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Взамен ГОСТ 31195.2.3-2012 (IEC 60998-2-3:1991) 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61010-2-040-2018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Безопасность электрических контрольно-измерительных приборов и лабораторного оборудования. Часть 2-040. Дополнительные требования к стерилизаторам и моечным </w:t>
            </w:r>
            <w:r w:rsidRPr="00796F7E">
              <w:rPr>
                <w:sz w:val="22"/>
                <w:szCs w:val="22"/>
              </w:rPr>
              <w:lastRenderedPageBreak/>
              <w:t>дезинфекторам, применяемым для обработки медицинских материалов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lastRenderedPageBreak/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61204-7-2014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tabs>
                <w:tab w:val="left" w:pos="1245"/>
              </w:tabs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Источники питания постоянного тока низковольтные. Часть 7. Требования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61210-2017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Устройства присоединительные. Зажимы плоские </w:t>
            </w:r>
            <w:proofErr w:type="spellStart"/>
            <w:r w:rsidRPr="00796F7E">
              <w:rPr>
                <w:sz w:val="22"/>
                <w:szCs w:val="22"/>
              </w:rPr>
              <w:t>быстросоединяемые</w:t>
            </w:r>
            <w:proofErr w:type="spellEnd"/>
            <w:r w:rsidRPr="00796F7E">
              <w:rPr>
                <w:sz w:val="22"/>
                <w:szCs w:val="22"/>
              </w:rPr>
              <w:t xml:space="preserve"> для медных электрических проводников. Требования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Взамен ГОСТ IEC 61210-2011 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61316-2017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tabs>
                <w:tab w:val="left" w:pos="1335"/>
              </w:tabs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Катушки для промышленных кабелей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61347-1-2019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Аппараты пускорегулирующие для ламп. Часть 1. Общие требования и требования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61439-7-2021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Устройства распределения и управления комплектные низковольтные. Часть 7. Комплектные устройства специального применения, например, на стоянках для яхт, кемпингах, рыночных площадях, станциях зарядки электрических транспортных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61534-21-2019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Системы </w:t>
            </w:r>
            <w:proofErr w:type="spellStart"/>
            <w:r w:rsidRPr="00796F7E">
              <w:rPr>
                <w:sz w:val="22"/>
                <w:szCs w:val="22"/>
              </w:rPr>
              <w:t>шинопроводные</w:t>
            </w:r>
            <w:proofErr w:type="spellEnd"/>
            <w:r w:rsidRPr="00796F7E">
              <w:rPr>
                <w:sz w:val="22"/>
                <w:szCs w:val="22"/>
              </w:rPr>
              <w:t xml:space="preserve">. Часть 21. Дополнительные требования к системам </w:t>
            </w:r>
            <w:proofErr w:type="spellStart"/>
            <w:r w:rsidRPr="00796F7E">
              <w:rPr>
                <w:sz w:val="22"/>
                <w:szCs w:val="22"/>
              </w:rPr>
              <w:t>шинопроводов</w:t>
            </w:r>
            <w:proofErr w:type="spellEnd"/>
            <w:r w:rsidRPr="00796F7E">
              <w:rPr>
                <w:sz w:val="22"/>
                <w:szCs w:val="22"/>
              </w:rPr>
              <w:t xml:space="preserve"> для настенного и потолочного монтажа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61534-22-2019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Системы </w:t>
            </w:r>
            <w:proofErr w:type="spellStart"/>
            <w:r w:rsidRPr="00796F7E">
              <w:rPr>
                <w:sz w:val="22"/>
                <w:szCs w:val="22"/>
              </w:rPr>
              <w:t>шинопроводные</w:t>
            </w:r>
            <w:proofErr w:type="spellEnd"/>
            <w:r w:rsidRPr="00796F7E">
              <w:rPr>
                <w:sz w:val="22"/>
                <w:szCs w:val="22"/>
              </w:rPr>
              <w:t xml:space="preserve">. Часть 22. Дополнительные требования к системам </w:t>
            </w:r>
            <w:proofErr w:type="spellStart"/>
            <w:r w:rsidRPr="00796F7E">
              <w:rPr>
                <w:sz w:val="22"/>
                <w:szCs w:val="22"/>
              </w:rPr>
              <w:t>шинопроводов</w:t>
            </w:r>
            <w:proofErr w:type="spellEnd"/>
            <w:r w:rsidRPr="00796F7E">
              <w:rPr>
                <w:sz w:val="22"/>
                <w:szCs w:val="22"/>
              </w:rPr>
              <w:t>, предназначенным для установки на полу и под полом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61800-5-1-2019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Системы силовых электрических приводов с регулируемой скоростью. Часть 5-1. Требования безопасности. Электро-, тепло- и </w:t>
            </w:r>
            <w:proofErr w:type="spellStart"/>
            <w:r w:rsidRPr="00796F7E">
              <w:rPr>
                <w:sz w:val="22"/>
                <w:szCs w:val="22"/>
              </w:rPr>
              <w:t>энергобезопасность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62035-2016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Лампы газоразрядные (кроме люминесцентных ламп). Требования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62109-1-2019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ind w:firstLine="720"/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Безопасность силовых преобразователей для использования в фотоэлектрических системах. Часть 1. Общие требования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62196-1-2017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Вилки, штепсельные розетки, соединители и входы транспортных средств. Проводная зарядка электрических транспортных средств. Часть 1. Зарядка электрических транспортных средств до 250 А включительно для переменного тока и 400 А для постоянного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62463-2018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Приборы радиационной защиты. Рентгеновские системы для досмотра людей в целях обеспечения безопасности и обнаружения </w:t>
            </w:r>
            <w:r w:rsidRPr="00796F7E">
              <w:rPr>
                <w:sz w:val="22"/>
                <w:szCs w:val="22"/>
              </w:rPr>
              <w:lastRenderedPageBreak/>
              <w:t>запрещенных предметов» (за исключением раздела 12)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lastRenderedPageBreak/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60695-2-10-2016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Испытания на </w:t>
            </w:r>
            <w:proofErr w:type="spellStart"/>
            <w:r w:rsidRPr="00796F7E">
              <w:rPr>
                <w:sz w:val="22"/>
                <w:szCs w:val="22"/>
              </w:rPr>
              <w:t>пожароопасность</w:t>
            </w:r>
            <w:proofErr w:type="spellEnd"/>
            <w:r w:rsidRPr="00796F7E">
              <w:rPr>
                <w:sz w:val="22"/>
                <w:szCs w:val="22"/>
              </w:rPr>
              <w:t>. Часть 2-10. Методы испытаний раскаленной проволокой. Оборудование для испытания раскаленной проволокой и общий порядок проведения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60695-10-3-2018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Испытание на </w:t>
            </w:r>
            <w:proofErr w:type="spellStart"/>
            <w:r w:rsidRPr="00796F7E">
              <w:rPr>
                <w:sz w:val="22"/>
                <w:szCs w:val="22"/>
              </w:rPr>
              <w:t>пожароопасность</w:t>
            </w:r>
            <w:proofErr w:type="spellEnd"/>
            <w:r w:rsidRPr="00796F7E">
              <w:rPr>
                <w:sz w:val="22"/>
                <w:szCs w:val="22"/>
              </w:rPr>
              <w:t>. Часть 10-3. Чрезмерный нагрев. Испытания на снятие деформационного напряжения формы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60695-11-4-2016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Испытание на </w:t>
            </w:r>
            <w:proofErr w:type="spellStart"/>
            <w:r w:rsidRPr="00796F7E">
              <w:rPr>
                <w:sz w:val="22"/>
                <w:szCs w:val="22"/>
              </w:rPr>
              <w:t>пожароопасность</w:t>
            </w:r>
            <w:proofErr w:type="spellEnd"/>
            <w:r w:rsidRPr="00796F7E">
              <w:rPr>
                <w:sz w:val="22"/>
                <w:szCs w:val="22"/>
              </w:rPr>
              <w:t>. Часть 11-4. Испытательное пламя. Пламя мощностью 50 Вт. Оборудование и метод испытаний для подтверждения его соответствия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60695-11-10-2016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 xml:space="preserve">Испытания на </w:t>
            </w:r>
            <w:proofErr w:type="spellStart"/>
            <w:r w:rsidRPr="00796F7E">
              <w:rPr>
                <w:sz w:val="22"/>
                <w:szCs w:val="22"/>
              </w:rPr>
              <w:t>пожароопасность</w:t>
            </w:r>
            <w:proofErr w:type="spellEnd"/>
            <w:r w:rsidRPr="00796F7E">
              <w:rPr>
                <w:sz w:val="22"/>
                <w:szCs w:val="22"/>
              </w:rPr>
              <w:t>. Часть 11-10. Испытательное пламя. Методы испытаний на горение горизонтально или вертикально ориентированных образцов с использованием пламени мощностью 50 Вт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60811-604-2016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Кабели электрические и волоконно-оптические. Методы испытаний неметаллических материалов. Часть 604. Физические испытания. Определение отсутствия коррозионно-активных компонентов в компаундах наполнителей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</w:t>
            </w:r>
          </w:p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ГОСТ IEC</w:t>
            </w:r>
            <w:r w:rsidR="006E7510">
              <w:rPr>
                <w:color w:val="000000"/>
                <w:sz w:val="22"/>
                <w:szCs w:val="22"/>
              </w:rPr>
              <w:t xml:space="preserve"> 60811-5-1-2011 </w:t>
            </w:r>
            <w:bookmarkStart w:id="1" w:name="_GoBack"/>
            <w:r w:rsidR="006E7510">
              <w:rPr>
                <w:color w:val="000000"/>
                <w:sz w:val="22"/>
                <w:szCs w:val="22"/>
              </w:rPr>
              <w:t>(в части раздел</w:t>
            </w:r>
            <w:r w:rsidR="006E7510">
              <w:rPr>
                <w:color w:val="000000"/>
                <w:sz w:val="22"/>
                <w:szCs w:val="22"/>
                <w:lang w:val="kk-KZ"/>
              </w:rPr>
              <w:t>а</w:t>
            </w:r>
            <w:r w:rsidRPr="00796F7E">
              <w:rPr>
                <w:color w:val="000000"/>
                <w:sz w:val="22"/>
                <w:szCs w:val="22"/>
              </w:rPr>
              <w:t xml:space="preserve"> 8)</w:t>
            </w:r>
            <w:bookmarkEnd w:id="1"/>
            <w:r w:rsidRPr="00796F7E">
              <w:rPr>
                <w:color w:val="000000"/>
                <w:sz w:val="22"/>
                <w:szCs w:val="22"/>
              </w:rPr>
              <w:t xml:space="preserve"> 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IEC 60811-605-2016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Кабели электрические и волоконно-оптические. Методы испытаний неметаллических материалов. Часть 605. Физические испытания. Определение содержания сажи и/или минерального наполнителя в полиэтиленовых композициях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 xml:space="preserve">Взамен </w:t>
            </w:r>
          </w:p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96F7E">
              <w:rPr>
                <w:color w:val="000000"/>
                <w:sz w:val="22"/>
                <w:szCs w:val="22"/>
              </w:rPr>
              <w:t>ГОСТ IEC 60811-4-1-2011 (в части разделов 11,12) 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  <w:tr w:rsidR="00796F7E" w:rsidRPr="00796F7E" w:rsidTr="00796F7E">
        <w:trPr>
          <w:trHeight w:val="230"/>
        </w:trPr>
        <w:tc>
          <w:tcPr>
            <w:tcW w:w="10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96F7E">
              <w:rPr>
                <w:b/>
                <w:sz w:val="22"/>
                <w:szCs w:val="22"/>
              </w:rPr>
              <w:t>О безопасности алкогольной продукции (ТР ЕАЭС 047/2018)</w:t>
            </w:r>
          </w:p>
        </w:tc>
      </w:tr>
      <w:tr w:rsidR="00796F7E" w:rsidRPr="00796F7E" w:rsidTr="00796F7E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7E" w:rsidRPr="00796F7E" w:rsidRDefault="00796F7E" w:rsidP="00796F7E">
            <w:pPr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ГОСТ ISO 10523-2017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Качество воды. Определение рН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Взамен СТ РК ISO 10523-2013</w:t>
            </w:r>
          </w:p>
          <w:p w:rsidR="00796F7E" w:rsidRPr="00796F7E" w:rsidRDefault="00796F7E" w:rsidP="008E2F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с установлением переходного периода до 27.11.2024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7E" w:rsidRPr="00796F7E" w:rsidRDefault="00796F7E" w:rsidP="008E2F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96F7E">
              <w:rPr>
                <w:sz w:val="22"/>
                <w:szCs w:val="22"/>
              </w:rPr>
              <w:t>27.11.2023</w:t>
            </w:r>
          </w:p>
        </w:tc>
      </w:tr>
    </w:tbl>
    <w:p w:rsidR="00533297" w:rsidRPr="00796F7E" w:rsidRDefault="00533297">
      <w:pPr>
        <w:rPr>
          <w:sz w:val="22"/>
          <w:szCs w:val="22"/>
        </w:rPr>
      </w:pPr>
    </w:p>
    <w:sectPr w:rsidR="00533297" w:rsidRPr="00796F7E" w:rsidSect="00796F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17:24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17:58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22.11.2023 19:30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00D" w:rsidRDefault="00BC200D" w:rsidP="00796F7E">
      <w:r>
        <w:separator/>
      </w:r>
    </w:p>
  </w:endnote>
  <w:endnote w:type="continuationSeparator" w:id="0">
    <w:p w:rsidR="00BC200D" w:rsidRDefault="00BC200D" w:rsidP="0079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23.11.2023 14:33.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23.11.2023 14:33.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00D" w:rsidRDefault="00BC200D" w:rsidP="00796F7E">
      <w:r>
        <w:separator/>
      </w:r>
    </w:p>
  </w:footnote>
  <w:footnote w:type="continuationSeparator" w:id="0">
    <w:p w:rsidR="00BC200D" w:rsidRDefault="00BC200D" w:rsidP="0079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1376151"/>
      <w:docPartObj>
        <w:docPartGallery w:val="Page Numbers (Top of Page)"/>
        <w:docPartUnique/>
      </w:docPartObj>
    </w:sdtPr>
    <w:sdtEndPr/>
    <w:sdtContent>
      <w:p w:rsidR="00796F7E" w:rsidRDefault="00796F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510">
          <w:rPr>
            <w:noProof/>
          </w:rPr>
          <w:t>5</w:t>
        </w:r>
        <w:r>
          <w:fldChar w:fldCharType="end"/>
        </w:r>
      </w:p>
    </w:sdtContent>
  </w:sdt>
  <w:p w:rsidR="00796F7E" w:rsidRDefault="00796F7E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34C4"/>
    <w:multiLevelType w:val="hybridMultilevel"/>
    <w:tmpl w:val="82D8336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9A"/>
    <w:rsid w:val="0023365E"/>
    <w:rsid w:val="00533297"/>
    <w:rsid w:val="006E7510"/>
    <w:rsid w:val="00796F7E"/>
    <w:rsid w:val="00B8609A"/>
    <w:rsid w:val="00BC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3228"/>
  <w15:chartTrackingRefBased/>
  <w15:docId w15:val="{2B72ED52-47D4-447B-8470-C8B1ECEF061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9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6F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9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F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6F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6F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13" Type="http://schemas.openxmlformats.org/officeDocument/2006/relationships/image" Target="media/image91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1559</Words>
  <Characters>8892</Characters>
  <Application>Microsoft Office Word</Application>
  <DocSecurity>0</DocSecurity>
  <Lines>74</Lines>
  <Paragraphs>20</Paragraphs>
  <ScaleCrop>false</ScaleCrop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Zhumakanova Kamila</dc:creator>
  <cp:keywords/>
  <dc:description/>
  <cp:lastModifiedBy>Zhumakanova Kamila</cp:lastModifiedBy>
  <cp:revision>3</cp:revision>
  <dcterms:created xsi:type="dcterms:W3CDTF">2023-11-22T10:37:00Z</dcterms:created>
  <dcterms:modified xsi:type="dcterms:W3CDTF">2023-11-22T11:04:00Z</dcterms:modified>
</cp:coreProperties>
</file>